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151385" w:rsidRDefault="00835740" w:rsidP="009B0912">
      <w:pPr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2.3.2 </w:t>
      </w:r>
      <w:r w:rsidR="00D82C18">
        <w:rPr>
          <w:rFonts w:ascii="Verdana" w:hAnsi="Verdana"/>
          <w:color w:val="000000" w:themeColor="text1"/>
          <w:sz w:val="28"/>
          <w:szCs w:val="28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</w:rPr>
        <w:t>(</w:t>
      </w:r>
      <w:r w:rsidR="00837783">
        <w:rPr>
          <w:rFonts w:ascii="Verdana" w:hAnsi="Verdana"/>
          <w:color w:val="000000" w:themeColor="text1"/>
          <w:sz w:val="28"/>
          <w:szCs w:val="28"/>
        </w:rPr>
        <w:t xml:space="preserve">Pedidos </w:t>
      </w:r>
      <w:r w:rsidR="00D82C18">
        <w:rPr>
          <w:rFonts w:ascii="Verdana" w:hAnsi="Verdana"/>
          <w:color w:val="000000" w:themeColor="text1"/>
          <w:sz w:val="28"/>
          <w:szCs w:val="28"/>
        </w:rPr>
        <w:t>de assistência ju</w:t>
      </w:r>
      <w:r>
        <w:rPr>
          <w:rFonts w:ascii="Verdana" w:hAnsi="Verdana"/>
          <w:color w:val="000000" w:themeColor="text1"/>
          <w:sz w:val="28"/>
          <w:szCs w:val="28"/>
        </w:rPr>
        <w:t>diciária</w:t>
      </w:r>
      <w:r w:rsidR="00D82C18">
        <w:rPr>
          <w:rFonts w:ascii="Verdana" w:hAnsi="Verdana"/>
          <w:color w:val="000000" w:themeColor="text1"/>
          <w:sz w:val="28"/>
          <w:szCs w:val="28"/>
        </w:rPr>
        <w:t xml:space="preserve"> mútua: aspetos práticos</w:t>
      </w:r>
      <w:r>
        <w:rPr>
          <w:rFonts w:ascii="Verdana" w:hAnsi="Verdana"/>
          <w:color w:val="000000" w:themeColor="text1"/>
          <w:sz w:val="28"/>
          <w:szCs w:val="28"/>
        </w:rPr>
        <w:t>)</w:t>
      </w:r>
    </w:p>
    <w:p w:rsidR="009B0912" w:rsidRPr="00151385" w:rsidRDefault="009B0912" w:rsidP="009B0912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4469AD" w:rsidRPr="004469AD" w:rsidRDefault="00835740" w:rsidP="004469AD">
            <w:pPr>
              <w:rPr>
                <w:rFonts w:ascii="Verdana" w:hAnsi="Verdana"/>
                <w:color w:val="000000" w:themeColor="text1"/>
                <w:szCs w:val="28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9B0912">
              <w:rPr>
                <w:rFonts w:ascii="Verdana" w:hAnsi="Verdana"/>
                <w:sz w:val="22"/>
                <w:szCs w:val="22"/>
              </w:rPr>
              <w:t xml:space="preserve"> 2.3.2 </w:t>
            </w:r>
            <w:r>
              <w:rPr>
                <w:rFonts w:ascii="Verdana" w:hAnsi="Verdana"/>
                <w:sz w:val="22"/>
                <w:szCs w:val="22"/>
              </w:rPr>
              <w:t>(</w:t>
            </w:r>
            <w:r w:rsidR="009B0912">
              <w:rPr>
                <w:rFonts w:ascii="Verdana" w:hAnsi="Verdana"/>
                <w:color w:val="000000" w:themeColor="text1"/>
                <w:szCs w:val="28"/>
              </w:rPr>
              <w:t xml:space="preserve">Solicitações de assistência </w:t>
            </w:r>
            <w:r>
              <w:rPr>
                <w:rFonts w:ascii="Verdana" w:hAnsi="Verdana"/>
                <w:color w:val="000000" w:themeColor="text1"/>
                <w:szCs w:val="28"/>
              </w:rPr>
              <w:t xml:space="preserve">judiciária </w:t>
            </w:r>
            <w:r w:rsidR="009B0912">
              <w:rPr>
                <w:rFonts w:ascii="Verdana" w:hAnsi="Verdana"/>
                <w:color w:val="000000" w:themeColor="text1"/>
                <w:szCs w:val="28"/>
              </w:rPr>
              <w:t>mútua: aspetos práticos</w:t>
            </w:r>
            <w:r>
              <w:rPr>
                <w:rFonts w:ascii="Verdana" w:hAnsi="Verdana"/>
                <w:color w:val="000000" w:themeColor="text1"/>
                <w:szCs w:val="28"/>
              </w:rPr>
              <w:t>)</w:t>
            </w:r>
          </w:p>
          <w:p w:rsidR="00D82C18" w:rsidRPr="00151385" w:rsidRDefault="00D82C18" w:rsidP="009B0912">
            <w:pPr>
              <w:ind w:left="1510" w:hanging="1510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151385" w:rsidRDefault="00D82C18" w:rsidP="004469A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90 minutos</w:t>
            </w:r>
          </w:p>
        </w:tc>
      </w:tr>
      <w:tr w:rsidR="00E7344B" w:rsidRPr="00151385">
        <w:trPr>
          <w:trHeight w:val="3266"/>
        </w:trPr>
        <w:tc>
          <w:tcPr>
            <w:tcW w:w="9010" w:type="dxa"/>
            <w:gridSpan w:val="3"/>
            <w:vAlign w:val="center"/>
          </w:tcPr>
          <w:p w:rsidR="009B0912" w:rsidRPr="00151385" w:rsidRDefault="009B0912" w:rsidP="009B0912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PC/computador portátil com versões de software compatíveis com os materiais preparados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:rsidR="009B0912" w:rsidRPr="00B43F4A" w:rsidRDefault="009B0912" w:rsidP="004469A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Bloco de notas </w:t>
            </w:r>
            <w:r w:rsidR="00835740">
              <w:rPr>
                <w:color w:val="000000" w:themeColor="text1"/>
                <w:szCs w:val="18"/>
              </w:rPr>
              <w:t>para os formandos</w:t>
            </w:r>
            <w:r>
              <w:rPr>
                <w:color w:val="000000" w:themeColor="text1"/>
                <w:szCs w:val="18"/>
              </w:rPr>
              <w:t xml:space="preserve"> e canetas.</w:t>
            </w:r>
          </w:p>
          <w:p w:rsidR="00B43F4A" w:rsidRPr="004469AD" w:rsidRDefault="00B43F4A" w:rsidP="00837783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Se possível, exemplos locais de </w:t>
            </w:r>
            <w:r w:rsidR="00837783">
              <w:rPr>
                <w:color w:val="000000" w:themeColor="text1"/>
                <w:szCs w:val="18"/>
              </w:rPr>
              <w:t xml:space="preserve">pedidos </w:t>
            </w:r>
            <w:r>
              <w:rPr>
                <w:color w:val="000000" w:themeColor="text1"/>
                <w:szCs w:val="18"/>
              </w:rPr>
              <w:t xml:space="preserve">de assistência </w:t>
            </w:r>
            <w:r w:rsidR="00837783">
              <w:rPr>
                <w:color w:val="000000" w:themeColor="text1"/>
                <w:szCs w:val="18"/>
              </w:rPr>
              <w:t xml:space="preserve">judiciária </w:t>
            </w:r>
            <w:r>
              <w:rPr>
                <w:color w:val="000000" w:themeColor="text1"/>
                <w:szCs w:val="18"/>
              </w:rPr>
              <w:t>mútua (para visualização e/ou discussão sobre boas ou más práticas)</w:t>
            </w:r>
          </w:p>
        </w:tc>
      </w:tr>
      <w:tr w:rsidR="00E7344B" w:rsidRPr="00151385">
        <w:trPr>
          <w:trHeight w:val="2456"/>
        </w:trPr>
        <w:tc>
          <w:tcPr>
            <w:tcW w:w="9010" w:type="dxa"/>
            <w:gridSpan w:val="3"/>
            <w:vAlign w:val="center"/>
          </w:tcPr>
          <w:p w:rsidR="00A03CF0" w:rsidRPr="0015138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4469AD" w:rsidRDefault="00D53FF5" w:rsidP="00D53FF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geral desta </w:t>
            </w:r>
            <w:r w:rsidR="008357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é transmitir conhecimentos básicos sobre princípios de assistência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 em termos práticos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que podem não estar familiarizados com a utilização de solicitações de MLA. Também tem como objetivo partilhar conselhos e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regras de </w:t>
            </w:r>
            <w:r>
              <w:rPr>
                <w:rFonts w:ascii="Verdana" w:hAnsi="Verdana"/>
                <w:sz w:val="18"/>
                <w:szCs w:val="18"/>
              </w:rPr>
              <w:t xml:space="preserve">boas práticas aplicáveis, independentemente do país de origem do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 ou para onde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se </w:t>
            </w:r>
            <w:r>
              <w:rPr>
                <w:rFonts w:ascii="Verdana" w:hAnsi="Verdana"/>
                <w:sz w:val="18"/>
                <w:szCs w:val="18"/>
              </w:rPr>
              <w:t>pretend</w:t>
            </w:r>
            <w:r w:rsidR="00835740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enviar um pedido de MLA.</w:t>
            </w:r>
          </w:p>
          <w:p w:rsidR="00A03CF0" w:rsidRDefault="004469AD" w:rsidP="004469A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</w:t>
            </w:r>
            <w:r w:rsidR="008357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irá explorar todos os passos, desde a preparação até à elaboração de um pedido, bem como a forma como um pedido proveniente do estrangeiro deve ser abordado, a fim de permitir a sua execução.</w:t>
            </w:r>
          </w:p>
          <w:p w:rsidR="004469AD" w:rsidRPr="00151385" w:rsidRDefault="00B43F4A" w:rsidP="004469A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</w:t>
            </w:r>
            <w:r w:rsidR="008357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deverá fornecer aos participantes as ferramentas básicas e os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conhecimentos </w:t>
            </w:r>
            <w:r>
              <w:rPr>
                <w:rFonts w:ascii="Verdana" w:hAnsi="Verdana"/>
                <w:sz w:val="18"/>
                <w:szCs w:val="18"/>
              </w:rPr>
              <w:t xml:space="preserve">necessários </w:t>
            </w:r>
            <w:r w:rsidR="00835740">
              <w:rPr>
                <w:rFonts w:ascii="Verdana" w:hAnsi="Verdana"/>
                <w:sz w:val="18"/>
                <w:szCs w:val="18"/>
              </w:rPr>
              <w:t>prévios a</w:t>
            </w:r>
            <w:r>
              <w:rPr>
                <w:rFonts w:ascii="Verdana" w:hAnsi="Verdana"/>
                <w:sz w:val="18"/>
                <w:szCs w:val="18"/>
              </w:rPr>
              <w:t xml:space="preserve">o exercício </w:t>
            </w:r>
            <w:r w:rsidR="00835740">
              <w:rPr>
                <w:rFonts w:ascii="Verdana" w:hAnsi="Verdana"/>
                <w:sz w:val="18"/>
                <w:szCs w:val="18"/>
              </w:rPr>
              <w:t>prático</w:t>
            </w:r>
            <w:r>
              <w:rPr>
                <w:rFonts w:ascii="Verdana" w:hAnsi="Verdana"/>
                <w:sz w:val="18"/>
                <w:szCs w:val="18"/>
              </w:rPr>
              <w:t xml:space="preserve">, durante o qual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os formandos </w:t>
            </w:r>
            <w:r>
              <w:rPr>
                <w:rFonts w:ascii="Verdana" w:hAnsi="Verdana"/>
                <w:sz w:val="18"/>
                <w:szCs w:val="18"/>
              </w:rPr>
              <w:t xml:space="preserve">serão solicitados a elaborar um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pedido de </w:t>
            </w:r>
            <w:r>
              <w:rPr>
                <w:rFonts w:ascii="Verdana" w:hAnsi="Verdana"/>
                <w:sz w:val="18"/>
                <w:szCs w:val="18"/>
              </w:rPr>
              <w:t xml:space="preserve">assistência </w:t>
            </w:r>
            <w:r w:rsidR="00835740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  </w:t>
            </w:r>
            <w:r w:rsidR="00835740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um caso de cibercrime.</w:t>
            </w:r>
          </w:p>
        </w:tc>
      </w:tr>
      <w:tr w:rsidR="00A03CF0" w:rsidRPr="00151385">
        <w:trPr>
          <w:trHeight w:val="1871"/>
        </w:trPr>
        <w:tc>
          <w:tcPr>
            <w:tcW w:w="9010" w:type="dxa"/>
            <w:gridSpan w:val="3"/>
            <w:vAlign w:val="center"/>
          </w:tcPr>
          <w:p w:rsidR="00A03CF0" w:rsidRPr="00151385" w:rsidRDefault="00271010" w:rsidP="0015138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D53FF5" w:rsidRPr="00151385" w:rsidRDefault="00D53FF5" w:rsidP="00D53FF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D53FF5" w:rsidRPr="00151385" w:rsidRDefault="004469AD" w:rsidP="00D53FF5">
            <w:pPr>
              <w:pStyle w:val="bul1"/>
              <w:rPr>
                <w:szCs w:val="18"/>
              </w:rPr>
            </w:pPr>
            <w:r>
              <w:t xml:space="preserve">Aprender ou recordar os princípios básicos da assistência </w:t>
            </w:r>
            <w:r w:rsidR="00835740">
              <w:t xml:space="preserve">judiciária </w:t>
            </w:r>
            <w:r>
              <w:t>mútua aplicada ao cibercrime</w:t>
            </w:r>
          </w:p>
          <w:p w:rsidR="00D53FF5" w:rsidRPr="00151385" w:rsidRDefault="004469AD" w:rsidP="00D53FF5">
            <w:pPr>
              <w:pStyle w:val="bul1"/>
              <w:rPr>
                <w:szCs w:val="18"/>
              </w:rPr>
            </w:pPr>
            <w:r>
              <w:t xml:space="preserve">Identificar boas práticas na preparação e elaboração de </w:t>
            </w:r>
            <w:r w:rsidR="00837783">
              <w:t>um pedido</w:t>
            </w:r>
          </w:p>
          <w:p w:rsidR="00E95703" w:rsidRPr="00686D94" w:rsidRDefault="004469AD" w:rsidP="004469AD">
            <w:pPr>
              <w:pStyle w:val="bul1"/>
              <w:rPr>
                <w:i/>
                <w:color w:val="00B050"/>
                <w:szCs w:val="18"/>
              </w:rPr>
            </w:pPr>
            <w:r>
              <w:t xml:space="preserve">Ter uma visão construtiva sobre </w:t>
            </w:r>
            <w:r w:rsidR="00837783">
              <w:t xml:space="preserve">pedidos </w:t>
            </w:r>
            <w:r>
              <w:t>estrangeir</w:t>
            </w:r>
            <w:r w:rsidR="00837783">
              <w:t>o</w:t>
            </w:r>
            <w:r>
              <w:t>s que possam ser recebid</w:t>
            </w:r>
            <w:r w:rsidR="00837783">
              <w:t>o</w:t>
            </w:r>
            <w:r>
              <w:t>s para fins de execução</w:t>
            </w:r>
          </w:p>
          <w:p w:rsidR="00686D94" w:rsidRPr="00835740" w:rsidRDefault="00686D94" w:rsidP="00686D94">
            <w:pPr>
              <w:pStyle w:val="bul1"/>
              <w:numPr>
                <w:ilvl w:val="0"/>
                <w:numId w:val="0"/>
              </w:numPr>
              <w:rPr>
                <w:i/>
                <w:color w:val="00B050"/>
                <w:szCs w:val="18"/>
              </w:rPr>
            </w:pPr>
          </w:p>
        </w:tc>
      </w:tr>
      <w:tr w:rsidR="005703B7" w:rsidRPr="00151385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15138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E95703" w:rsidRPr="00151385" w:rsidRDefault="004469AD" w:rsidP="00B43F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tem como objetivo preparar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o exercício </w:t>
            </w:r>
            <w:r w:rsidR="00835740">
              <w:rPr>
                <w:rFonts w:ascii="Verdana" w:hAnsi="Verdana"/>
                <w:sz w:val="18"/>
                <w:szCs w:val="18"/>
              </w:rPr>
              <w:t>prático</w:t>
            </w:r>
            <w:r>
              <w:rPr>
                <w:rFonts w:ascii="Verdana" w:hAnsi="Verdana"/>
                <w:sz w:val="18"/>
                <w:szCs w:val="18"/>
              </w:rPr>
              <w:t xml:space="preserve">. Também pode ser utilizado, se necessário, como um curso geral para todos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s. Esta sessão não apresentará as regras legais de MLA, as quais variam de país para país, mas incidirá sobre os aspetos práticos ou conselhos que podem ajudar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s, com vista a uma melhor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elaboração e  </w:t>
            </w:r>
            <w:r>
              <w:rPr>
                <w:rFonts w:ascii="Verdana" w:hAnsi="Verdana"/>
                <w:sz w:val="18"/>
                <w:szCs w:val="18"/>
              </w:rPr>
              <w:t xml:space="preserve">das solicitações de MLA. Embora o cibercrime e a assistência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 estejam frequentemente relacionados, os juízes ou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procuradores </w:t>
            </w:r>
            <w:r>
              <w:rPr>
                <w:rFonts w:ascii="Verdana" w:hAnsi="Verdana"/>
                <w:sz w:val="18"/>
                <w:szCs w:val="18"/>
              </w:rPr>
              <w:t xml:space="preserve">especializados em cibercrime podem nem sempre estar familiarizados com as regras de MLA e vice-versa. Esta sessão tem como objetivo fornecer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uma visão prática sobre MLA em casos de cibercrime, o que pode ser complementado pelo estudo de regras teóricas aplicáveis ao país especificado (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o </w:t>
            </w:r>
            <w:r w:rsidR="00C67C1C">
              <w:rPr>
                <w:rFonts w:ascii="Verdana" w:hAnsi="Verdana"/>
                <w:sz w:val="18"/>
                <w:szCs w:val="18"/>
              </w:rPr>
              <w:lastRenderedPageBreak/>
              <w:t xml:space="preserve">que está </w:t>
            </w:r>
            <w:r>
              <w:rPr>
                <w:rFonts w:ascii="Verdana" w:hAnsi="Verdana"/>
                <w:sz w:val="18"/>
                <w:szCs w:val="18"/>
              </w:rPr>
              <w:t xml:space="preserve">fora </w:t>
            </w:r>
            <w:r w:rsidR="00C67C1C">
              <w:rPr>
                <w:rFonts w:ascii="Verdana" w:hAnsi="Verdana"/>
                <w:sz w:val="18"/>
                <w:szCs w:val="18"/>
              </w:rPr>
              <w:t xml:space="preserve">do âmbito </w:t>
            </w:r>
            <w:r>
              <w:rPr>
                <w:rFonts w:ascii="Verdana" w:hAnsi="Verdana"/>
                <w:sz w:val="18"/>
                <w:szCs w:val="18"/>
              </w:rPr>
              <w:t>deste curso).</w:t>
            </w:r>
          </w:p>
        </w:tc>
      </w:tr>
      <w:tr w:rsidR="005A4E47" w:rsidRPr="00151385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15138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 xml:space="preserve">Conteúdo da </w:t>
            </w:r>
            <w:r w:rsidR="00835740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CB3026" w:rsidRPr="00151385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15138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15138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CB3026" w:rsidRPr="00151385">
        <w:tc>
          <w:tcPr>
            <w:tcW w:w="1615" w:type="dxa"/>
            <w:vAlign w:val="center"/>
          </w:tcPr>
          <w:p w:rsidR="00D82C18" w:rsidRPr="0015138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  <w:p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151385" w:rsidRDefault="00D53FF5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definem a programação e os objetivos da sessão. Os objetivos para esta sessão são explicados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s, </w:t>
            </w:r>
            <w:r w:rsidR="00C946F1">
              <w:rPr>
                <w:rFonts w:ascii="Verdana" w:hAnsi="Verdana"/>
                <w:sz w:val="18"/>
                <w:szCs w:val="18"/>
              </w:rPr>
              <w:t>sendo-lhes</w:t>
            </w:r>
            <w:r w:rsidR="00835A34">
              <w:rPr>
                <w:rFonts w:ascii="Verdana" w:hAnsi="Verdana"/>
                <w:sz w:val="18"/>
                <w:szCs w:val="18"/>
              </w:rPr>
              <w:t xml:space="preserve"> comunicado o que </w:t>
            </w:r>
            <w:r>
              <w:rPr>
                <w:rFonts w:ascii="Verdana" w:hAnsi="Verdana"/>
                <w:sz w:val="18"/>
                <w:szCs w:val="18"/>
              </w:rPr>
              <w:t>deve</w:t>
            </w:r>
            <w:r w:rsidR="00835A34">
              <w:rPr>
                <w:rFonts w:ascii="Verdana" w:hAnsi="Verdana"/>
                <w:sz w:val="18"/>
                <w:szCs w:val="18"/>
              </w:rPr>
              <w:t>rão</w:t>
            </w:r>
            <w:r>
              <w:rPr>
                <w:rFonts w:ascii="Verdana" w:hAnsi="Verdana"/>
                <w:sz w:val="18"/>
                <w:szCs w:val="18"/>
              </w:rPr>
              <w:t xml:space="preserve"> ser capaz</w:t>
            </w:r>
            <w:r w:rsidR="00835A34">
              <w:rPr>
                <w:rFonts w:ascii="Verdana" w:hAnsi="Verdana"/>
                <w:sz w:val="18"/>
                <w:szCs w:val="18"/>
              </w:rPr>
              <w:t>es</w:t>
            </w:r>
            <w:r>
              <w:rPr>
                <w:rFonts w:ascii="Verdana" w:hAnsi="Verdana"/>
                <w:sz w:val="18"/>
                <w:szCs w:val="18"/>
              </w:rPr>
              <w:t xml:space="preserve"> de fazer ou compreender no final da sessão. Estes objetivos podem ser utilizados para testar o conhecimento obtido e permitir que 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avaliem a formação.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4 a 7</w:t>
            </w:r>
          </w:p>
          <w:p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2E1E47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relembram aos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os princípios gerais de assistência </w:t>
            </w:r>
            <w:r w:rsidR="00835A34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>mútua e tentam perspetivar princípios e desafios gerais impostos pela tecnologia.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8</w:t>
            </w:r>
          </w:p>
          <w:p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obrigatório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gráfico tenta resumir as principais diferenças e desafios entre um “crime tradicional” e um crime cometido no mundo digital.</w:t>
            </w:r>
          </w:p>
        </w:tc>
      </w:tr>
      <w:tr w:rsidR="002E1E47" w:rsidRPr="00151385">
        <w:tc>
          <w:tcPr>
            <w:tcW w:w="1615" w:type="dxa"/>
            <w:vAlign w:val="center"/>
          </w:tcPr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9</w:t>
            </w:r>
          </w:p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resume o desafio entre soberania (princípio) e eficiência/rapidez (muito necessária no cibercrime)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Slide 10 </w:t>
            </w:r>
          </w:p>
          <w:p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obrigatório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pormenoriza o desafio apresentado no slide 9.</w:t>
            </w:r>
          </w:p>
        </w:tc>
      </w:tr>
      <w:tr w:rsidR="002E1E47" w:rsidRPr="00151385">
        <w:tc>
          <w:tcPr>
            <w:tcW w:w="1615" w:type="dxa"/>
            <w:vAlign w:val="center"/>
          </w:tcPr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11</w:t>
            </w:r>
          </w:p>
          <w:p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Tempo para perguntas e troca de informações com </w:t>
            </w:r>
            <w:r w:rsidR="008357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s.</w:t>
            </w:r>
          </w:p>
        </w:tc>
      </w:tr>
      <w:tr w:rsidR="00D53FF5" w:rsidRPr="00151385">
        <w:tc>
          <w:tcPr>
            <w:tcW w:w="1615" w:type="dxa"/>
            <w:vAlign w:val="center"/>
          </w:tcPr>
          <w:p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12 a 20</w:t>
            </w:r>
          </w:p>
          <w:p w:rsidR="001378F6" w:rsidRDefault="001378F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  <w:p w:rsidR="002E1E47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(exceto o slide 19)</w:t>
            </w:r>
          </w:p>
        </w:tc>
        <w:tc>
          <w:tcPr>
            <w:tcW w:w="7395" w:type="dxa"/>
            <w:gridSpan w:val="2"/>
            <w:vAlign w:val="center"/>
          </w:tcPr>
          <w:p w:rsidR="00D53FF5" w:rsidRPr="00151385" w:rsidRDefault="001378F6" w:rsidP="0083778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abordam as etapas úteis a serem seguidas para elaborar adequadamente um pedido de assistência </w:t>
            </w:r>
            <w:r w:rsidR="00835A34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mútua, incluindo a utilização dos artigos 29 e 35 da convenção de Budapeste (rede 24/7 para </w:t>
            </w:r>
            <w:r w:rsidR="00837783">
              <w:rPr>
                <w:rFonts w:ascii="Verdana" w:hAnsi="Verdana"/>
                <w:sz w:val="18"/>
                <w:szCs w:val="18"/>
              </w:rPr>
              <w:t xml:space="preserve">pedidos </w:t>
            </w:r>
            <w:r>
              <w:rPr>
                <w:rFonts w:ascii="Verdana" w:hAnsi="Verdana"/>
                <w:sz w:val="18"/>
                <w:szCs w:val="18"/>
              </w:rPr>
              <w:t xml:space="preserve">de preservação </w:t>
            </w:r>
            <w:r w:rsidR="00835A34">
              <w:rPr>
                <w:rFonts w:ascii="Verdana" w:hAnsi="Verdana"/>
                <w:sz w:val="18"/>
                <w:szCs w:val="18"/>
              </w:rPr>
              <w:t>expedita de dados</w:t>
            </w:r>
            <w:r>
              <w:rPr>
                <w:rFonts w:ascii="Verdana" w:hAnsi="Verdana"/>
                <w:sz w:val="18"/>
                <w:szCs w:val="18"/>
              </w:rPr>
              <w:t>).</w:t>
            </w:r>
          </w:p>
        </w:tc>
      </w:tr>
      <w:tr w:rsidR="00D53FF5" w:rsidRPr="00151385">
        <w:trPr>
          <w:trHeight w:val="1457"/>
        </w:trPr>
        <w:tc>
          <w:tcPr>
            <w:tcW w:w="1615" w:type="dxa"/>
            <w:vAlign w:val="center"/>
          </w:tcPr>
          <w:p w:rsidR="00D53FF5" w:rsidRPr="00151385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21 a 52</w:t>
            </w:r>
          </w:p>
          <w:p w:rsidR="00151385" w:rsidRPr="00151385" w:rsidRDefault="00151385" w:rsidP="006733A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 (exceto os slides 23, 24, 26 a 40, 44, 45, 47 e 48)</w:t>
            </w:r>
          </w:p>
        </w:tc>
        <w:tc>
          <w:tcPr>
            <w:tcW w:w="7395" w:type="dxa"/>
            <w:gridSpan w:val="2"/>
            <w:vAlign w:val="center"/>
          </w:tcPr>
          <w:p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>Estes slides exploram as diferentes etapas</w:t>
            </w:r>
            <w:bookmarkStart w:id="0" w:name="_GoBack"/>
            <w:bookmarkEnd w:id="0"/>
            <w:r>
              <w:t xml:space="preserve"> a serem seguidas durante a fase de elaboração de um pedido. Incluem exemplos regionais (slides não obrigatórios 23 a 24 sobre a Decisão Europeia de Investigação na União Europeia, assim como um modelo de um formulário de MLA</w:t>
            </w:r>
            <w:r w:rsidR="00835A34">
              <w:t>, o qual foi elaborado no contexto</w:t>
            </w:r>
            <w:r>
              <w:t xml:space="preserve"> do </w:t>
            </w:r>
            <w:r w:rsidR="00835A34">
              <w:t>C</w:t>
            </w:r>
            <w:r>
              <w:t xml:space="preserve">onselho da Europa (slides não obrigatórios 26 a 39), para os </w:t>
            </w:r>
            <w:r w:rsidR="00835740">
              <w:t>formando</w:t>
            </w:r>
            <w:r>
              <w:t xml:space="preserve">s visualizam um exemplo de pedido (modelo não universal, obrigatório). Esta parte poderia ser possivelmente complementada com outros exemplos de iniciativas regionais ou locais. </w:t>
            </w:r>
          </w:p>
          <w:p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Os slides posteriores abordam as diferentes partes de um pedido a ser elaborado, ou seja, a base jurídica, informações de contacto úteis, resumo de </w:t>
            </w:r>
            <w:r>
              <w:lastRenderedPageBreak/>
              <w:t xml:space="preserve">fatos, exigências específicas (slides 41 a 44). </w:t>
            </w:r>
            <w:r w:rsidR="00835A34">
              <w:t>E</w:t>
            </w:r>
            <w:r>
              <w:t>m todas estas secções</w:t>
            </w:r>
            <w:r w:rsidR="00835A34">
              <w:t xml:space="preserve"> são fornecidas recomendações</w:t>
            </w:r>
            <w:r>
              <w:t xml:space="preserve">. </w:t>
            </w:r>
          </w:p>
          <w:p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Em seguida, os slides 44 e 46 concentram-se </w:t>
            </w:r>
            <w:r w:rsidR="00837783">
              <w:t>nos pedidos</w:t>
            </w:r>
            <w:r>
              <w:t xml:space="preserve"> enviad</w:t>
            </w:r>
            <w:r w:rsidR="00837783">
              <w:t>o</w:t>
            </w:r>
            <w:r>
              <w:t>s para os EUA.</w:t>
            </w:r>
          </w:p>
          <w:p w:rsidR="00D53FF5" w:rsidRPr="0015138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>Os slides 46 a 49 exploram outr</w:t>
            </w:r>
            <w:r w:rsidR="00835A34">
              <w:t>a</w:t>
            </w:r>
            <w:r>
              <w:t xml:space="preserve">s </w:t>
            </w:r>
            <w:r w:rsidR="00835A34">
              <w:t xml:space="preserve">recomendações </w:t>
            </w:r>
            <w:r>
              <w:t>para uma melhor elaboração.</w:t>
            </w:r>
          </w:p>
        </w:tc>
      </w:tr>
      <w:tr w:rsidR="006733AB" w:rsidRPr="00151385">
        <w:trPr>
          <w:trHeight w:val="1457"/>
        </w:trPr>
        <w:tc>
          <w:tcPr>
            <w:tcW w:w="1615" w:type="dxa"/>
            <w:vAlign w:val="center"/>
          </w:tcPr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Slides 53 a 61</w:t>
            </w:r>
          </w:p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(exceto os slides 57, 58)</w:t>
            </w:r>
          </w:p>
        </w:tc>
        <w:tc>
          <w:tcPr>
            <w:tcW w:w="7395" w:type="dxa"/>
            <w:gridSpan w:val="2"/>
            <w:vAlign w:val="center"/>
          </w:tcPr>
          <w:p w:rsidR="00F709D5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Estes slides têm como objetivo fornecer </w:t>
            </w:r>
            <w:r w:rsidR="00835A34">
              <w:t xml:space="preserve">recomendações </w:t>
            </w:r>
            <w:r>
              <w:t>sobre como considerar</w:t>
            </w:r>
            <w:r w:rsidR="00C269C4">
              <w:t>,</w:t>
            </w:r>
            <w:r>
              <w:t xml:space="preserve"> na prática</w:t>
            </w:r>
            <w:r w:rsidR="00C269C4">
              <w:t>,</w:t>
            </w:r>
            <w:r>
              <w:t xml:space="preserve"> </w:t>
            </w:r>
            <w:r w:rsidR="00C269C4">
              <w:t xml:space="preserve">para além das regras legais nacionais aplicáveis, </w:t>
            </w:r>
            <w:r>
              <w:t xml:space="preserve">um pedido proveniente do estrangeiro. </w:t>
            </w:r>
          </w:p>
          <w:p w:rsidR="006733AB" w:rsidRDefault="006733AB" w:rsidP="00837783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 xml:space="preserve">Os slides 59 a 61 (em branco) devem ser utilizados para pormenorizar algumas das regras nacionais específicas relativas à execução de </w:t>
            </w:r>
            <w:r w:rsidR="00837783">
              <w:t xml:space="preserve">pedidos </w:t>
            </w:r>
            <w:r>
              <w:t>provenientes do estrangeiro.</w:t>
            </w:r>
          </w:p>
        </w:tc>
      </w:tr>
      <w:tr w:rsidR="006733AB" w:rsidRPr="00151385">
        <w:trPr>
          <w:trHeight w:val="1457"/>
        </w:trPr>
        <w:tc>
          <w:tcPr>
            <w:tcW w:w="1615" w:type="dxa"/>
            <w:vAlign w:val="center"/>
          </w:tcPr>
          <w:p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62 a 64</w:t>
            </w:r>
          </w:p>
        </w:tc>
        <w:tc>
          <w:tcPr>
            <w:tcW w:w="7395" w:type="dxa"/>
            <w:gridSpan w:val="2"/>
            <w:vAlign w:val="center"/>
          </w:tcPr>
          <w:p w:rsidR="006733AB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</w:rPr>
            </w:pPr>
            <w:r>
              <w:t>Estes slides fornecem um resumo dos objetivos que deveriam ter sido a</w:t>
            </w:r>
            <w:r w:rsidR="00C269C4">
              <w:t>tingidos</w:t>
            </w:r>
            <w:r>
              <w:t xml:space="preserve"> no final da </w:t>
            </w:r>
            <w:r w:rsidR="00835740">
              <w:t>sessão</w:t>
            </w:r>
            <w:r>
              <w:t xml:space="preserve"> e reservam algum tempo para discussão e perguntas dos </w:t>
            </w:r>
            <w:r w:rsidR="00835740">
              <w:t>formando</w:t>
            </w:r>
            <w:r>
              <w:t>s.</w:t>
            </w:r>
          </w:p>
        </w:tc>
      </w:tr>
      <w:tr w:rsidR="00CB3026" w:rsidRPr="00151385">
        <w:trPr>
          <w:trHeight w:val="1025"/>
        </w:trPr>
        <w:tc>
          <w:tcPr>
            <w:tcW w:w="0" w:type="auto"/>
            <w:gridSpan w:val="3"/>
            <w:vAlign w:val="center"/>
          </w:tcPr>
          <w:p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6D3C" w:rsidRDefault="00151385" w:rsidP="0015138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</w:rPr>
            </w:pPr>
            <w:r w:rsidRPr="00346D3C">
              <w:rPr>
                <w:rFonts w:ascii="Verdana" w:hAnsi="Verdana"/>
                <w:sz w:val="18"/>
              </w:rPr>
              <w:t>Não há exercícios práticos preparados para esta sessão</w:t>
            </w:r>
          </w:p>
        </w:tc>
      </w:tr>
      <w:tr w:rsidR="00CB3026" w:rsidRPr="00151385">
        <w:tc>
          <w:tcPr>
            <w:tcW w:w="9010" w:type="dxa"/>
            <w:gridSpan w:val="3"/>
            <w:vAlign w:val="center"/>
          </w:tcPr>
          <w:p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837783" w:rsidRDefault="00151385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346D3C">
              <w:rPr>
                <w:rFonts w:ascii="Verdana" w:hAnsi="Verdana"/>
                <w:sz w:val="18"/>
              </w:rPr>
              <w:t xml:space="preserve">O formador deve avaliar os conhecimentos e compreensão através de perguntas relevantes durante cada um dos aspetos da sessão apresentando, </w:t>
            </w:r>
            <w:r w:rsidR="00C269C4" w:rsidRPr="00346D3C">
              <w:rPr>
                <w:rFonts w:ascii="Verdana" w:hAnsi="Verdana"/>
                <w:sz w:val="18"/>
              </w:rPr>
              <w:t>designadamente</w:t>
            </w:r>
            <w:r w:rsidRPr="00346D3C">
              <w:rPr>
                <w:rFonts w:ascii="Verdana" w:hAnsi="Verdana"/>
                <w:sz w:val="18"/>
              </w:rPr>
              <w:t>, exemplos locais.</w:t>
            </w:r>
          </w:p>
        </w:tc>
      </w:tr>
    </w:tbl>
    <w:p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footerReference w:type="default" r:id="rId8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9AE" w:rsidRDefault="00C359AE" w:rsidP="00C359AE">
      <w:r>
        <w:separator/>
      </w:r>
    </w:p>
  </w:endnote>
  <w:endnote w:type="continuationSeparator" w:id="0">
    <w:p w:rsidR="00C359AE" w:rsidRDefault="00C359AE" w:rsidP="00C3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C359AE" w:rsidRPr="00C359AE" w:rsidRDefault="00C359AE" w:rsidP="00C359AE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9AE" w:rsidRDefault="00C359AE" w:rsidP="00C359AE">
      <w:r>
        <w:separator/>
      </w:r>
    </w:p>
  </w:footnote>
  <w:footnote w:type="continuationSeparator" w:id="0">
    <w:p w:rsidR="00C359AE" w:rsidRDefault="00C359AE" w:rsidP="00C35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1378F6"/>
    <w:rsid w:val="00151385"/>
    <w:rsid w:val="00203940"/>
    <w:rsid w:val="00271010"/>
    <w:rsid w:val="002E1E47"/>
    <w:rsid w:val="00346D3C"/>
    <w:rsid w:val="003630ED"/>
    <w:rsid w:val="00374B1A"/>
    <w:rsid w:val="004469AD"/>
    <w:rsid w:val="005703B7"/>
    <w:rsid w:val="005A4E47"/>
    <w:rsid w:val="006733AB"/>
    <w:rsid w:val="00686D94"/>
    <w:rsid w:val="00835740"/>
    <w:rsid w:val="00835A34"/>
    <w:rsid w:val="00837783"/>
    <w:rsid w:val="008E3FE7"/>
    <w:rsid w:val="008E5DDE"/>
    <w:rsid w:val="009B0912"/>
    <w:rsid w:val="00A03CF0"/>
    <w:rsid w:val="00A4110D"/>
    <w:rsid w:val="00A734A5"/>
    <w:rsid w:val="00AF05C3"/>
    <w:rsid w:val="00B25146"/>
    <w:rsid w:val="00B43F4A"/>
    <w:rsid w:val="00C269C4"/>
    <w:rsid w:val="00C359AE"/>
    <w:rsid w:val="00C541A2"/>
    <w:rsid w:val="00C67C1C"/>
    <w:rsid w:val="00C946F1"/>
    <w:rsid w:val="00CB02C4"/>
    <w:rsid w:val="00CB3026"/>
    <w:rsid w:val="00D20CD3"/>
    <w:rsid w:val="00D53FF5"/>
    <w:rsid w:val="00D82C18"/>
    <w:rsid w:val="00E009E7"/>
    <w:rsid w:val="00E13BE7"/>
    <w:rsid w:val="00E7344B"/>
    <w:rsid w:val="00E95703"/>
    <w:rsid w:val="00F62A15"/>
    <w:rsid w:val="00F7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C95CE"/>
  <w15:docId w15:val="{56CEAB6E-380F-466C-BD27-37B355DA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Header">
    <w:name w:val="header"/>
    <w:basedOn w:val="Normal"/>
    <w:link w:val="HeaderCha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53FF5"/>
    <w:rPr>
      <w:rFonts w:ascii="Calibri" w:eastAsia="Calibri" w:hAnsi="Calibri" w:cs="Times New Roman"/>
      <w:sz w:val="20"/>
      <w:szCs w:val="20"/>
      <w:lang w:val="pt-PT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5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5C3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359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52F6-16CA-4FEC-AC92-1BA5293A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888</Words>
  <Characters>5066</Characters>
  <Application>Microsoft Office Word</Application>
  <DocSecurity>0</DocSecurity>
  <Lines>42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6</cp:revision>
  <dcterms:created xsi:type="dcterms:W3CDTF">2019-04-16T12:26:00Z</dcterms:created>
  <dcterms:modified xsi:type="dcterms:W3CDTF">2019-09-02T14:36:00Z</dcterms:modified>
</cp:coreProperties>
</file>